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napToGrid w:val="0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2</w:t>
      </w:r>
      <w:r>
        <w:rPr>
          <w:rFonts w:ascii="Times New Roman" w:hAnsi="Times New Roman" w:eastAsia="方正小标宋简体"/>
          <w:sz w:val="44"/>
          <w:szCs w:val="44"/>
        </w:rPr>
        <w:t>020</w:t>
      </w:r>
      <w:r>
        <w:rPr>
          <w:rFonts w:hint="eastAsia" w:ascii="Times New Roman" w:hAnsi="Times New Roman" w:eastAsia="方正小标宋简体"/>
          <w:sz w:val="44"/>
          <w:szCs w:val="44"/>
        </w:rPr>
        <w:t>年</w:t>
      </w:r>
      <w:r>
        <w:rPr>
          <w:rFonts w:ascii="Times New Roman" w:hAnsi="Times New Roman" w:eastAsia="方正小标宋简体"/>
          <w:sz w:val="44"/>
          <w:szCs w:val="44"/>
        </w:rPr>
        <w:t>全国职业院校技能大赛教学能力比赛评分指标</w:t>
      </w:r>
      <w:bookmarkStart w:id="3" w:name="_GoBack"/>
      <w:bookmarkEnd w:id="3"/>
    </w:p>
    <w:p>
      <w:pPr>
        <w:overflowPunct w:val="0"/>
        <w:rPr>
          <w:rFonts w:ascii="黑体" w:hAnsi="黑体" w:eastAsia="黑体"/>
          <w:sz w:val="24"/>
          <w:szCs w:val="20"/>
        </w:rPr>
      </w:pPr>
    </w:p>
    <w:p>
      <w:pPr>
        <w:overflowPunct w:val="0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一、公共基础课程组</w:t>
      </w:r>
    </w:p>
    <w:tbl>
      <w:tblPr>
        <w:tblStyle w:val="4"/>
        <w:tblW w:w="86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580"/>
        <w:gridCol w:w="71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tblHeader/>
          <w:jc w:val="center"/>
        </w:trPr>
        <w:tc>
          <w:tcPr>
            <w:tcW w:w="874" w:type="dxa"/>
            <w:shd w:val="clear" w:color="auto" w:fill="auto"/>
            <w:vAlign w:val="center"/>
          </w:tcPr>
          <w:p>
            <w:pPr>
              <w:overflowPunct w:val="0"/>
              <w:snapToGrid w:val="0"/>
              <w:jc w:val="center"/>
              <w:rPr>
                <w:rFonts w:ascii="黑体" w:hAnsi="黑体" w:eastAsia="黑体"/>
                <w:sz w:val="24"/>
                <w:szCs w:val="28"/>
              </w:rPr>
            </w:pPr>
            <w:bookmarkStart w:id="0" w:name="_Hlk10491916"/>
            <w:r>
              <w:rPr>
                <w:rFonts w:hint="eastAsia" w:ascii="黑体" w:hAnsi="黑体" w:eastAsia="黑体"/>
                <w:sz w:val="24"/>
                <w:szCs w:val="28"/>
              </w:rPr>
              <w:t>评价</w:t>
            </w:r>
          </w:p>
          <w:p>
            <w:pPr>
              <w:overflowPunct w:val="0"/>
              <w:snapToGrid w:val="0"/>
              <w:jc w:val="center"/>
              <w:rPr>
                <w:rFonts w:ascii="黑体" w:hAnsi="黑体" w:eastAsia="黑体"/>
                <w:sz w:val="24"/>
                <w:szCs w:val="28"/>
              </w:rPr>
            </w:pPr>
            <w:r>
              <w:rPr>
                <w:rFonts w:hint="eastAsia" w:ascii="黑体" w:hAnsi="黑体" w:eastAsia="黑体"/>
                <w:sz w:val="24"/>
                <w:szCs w:val="28"/>
              </w:rPr>
              <w:t>指标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overflowPunct w:val="0"/>
              <w:snapToGrid w:val="0"/>
              <w:jc w:val="center"/>
              <w:rPr>
                <w:rFonts w:ascii="黑体" w:hAnsi="黑体" w:eastAsia="黑体"/>
                <w:sz w:val="24"/>
                <w:szCs w:val="28"/>
              </w:rPr>
            </w:pPr>
            <w:r>
              <w:rPr>
                <w:rFonts w:hint="eastAsia" w:ascii="黑体" w:hAnsi="黑体" w:eastAsia="黑体"/>
                <w:sz w:val="24"/>
                <w:szCs w:val="28"/>
              </w:rPr>
              <w:t>分</w:t>
            </w:r>
          </w:p>
          <w:p>
            <w:pPr>
              <w:overflowPunct w:val="0"/>
              <w:snapToGrid w:val="0"/>
              <w:jc w:val="center"/>
              <w:rPr>
                <w:rFonts w:ascii="黑体" w:hAnsi="黑体" w:eastAsia="黑体"/>
                <w:sz w:val="24"/>
                <w:szCs w:val="28"/>
              </w:rPr>
            </w:pPr>
            <w:r>
              <w:rPr>
                <w:rFonts w:hint="eastAsia" w:ascii="黑体" w:hAnsi="黑体" w:eastAsia="黑体"/>
                <w:sz w:val="24"/>
                <w:szCs w:val="28"/>
              </w:rPr>
              <w:t>值</w:t>
            </w:r>
          </w:p>
        </w:tc>
        <w:tc>
          <w:tcPr>
            <w:tcW w:w="7164" w:type="dxa"/>
            <w:shd w:val="clear" w:color="auto" w:fill="auto"/>
            <w:vAlign w:val="center"/>
          </w:tcPr>
          <w:p>
            <w:pPr>
              <w:overflowPunct w:val="0"/>
              <w:snapToGrid w:val="0"/>
              <w:jc w:val="center"/>
              <w:rPr>
                <w:rFonts w:ascii="黑体" w:hAnsi="黑体" w:eastAsia="黑体"/>
                <w:sz w:val="24"/>
                <w:szCs w:val="28"/>
              </w:rPr>
            </w:pPr>
            <w:r>
              <w:rPr>
                <w:rFonts w:hint="eastAsia" w:ascii="黑体" w:hAnsi="黑体" w:eastAsia="黑体"/>
                <w:sz w:val="24"/>
                <w:szCs w:val="28"/>
              </w:rPr>
              <w:t>评价要素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0" w:hRule="atLeast"/>
          <w:jc w:val="center"/>
        </w:trPr>
        <w:tc>
          <w:tcPr>
            <w:tcW w:w="874" w:type="dxa"/>
            <w:shd w:val="clear" w:color="auto" w:fill="auto"/>
            <w:vAlign w:val="center"/>
          </w:tcPr>
          <w:p>
            <w:pPr>
              <w:autoSpaceDE w:val="0"/>
              <w:autoSpaceDN w:val="0"/>
              <w:snapToGrid w:val="0"/>
              <w:jc w:val="center"/>
              <w:rPr>
                <w:rFonts w:ascii="Times New Roman" w:hAnsi="Times New Roman" w:eastAsia="方正仿宋简体"/>
                <w:kern w:val="0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szCs w:val="28"/>
              </w:rPr>
              <w:t>目标</w:t>
            </w:r>
          </w:p>
          <w:p>
            <w:pPr>
              <w:autoSpaceDE w:val="0"/>
              <w:autoSpaceDN w:val="0"/>
              <w:snapToGrid w:val="0"/>
              <w:jc w:val="center"/>
              <w:rPr>
                <w:rFonts w:ascii="Times New Roman" w:hAnsi="Times New Roman" w:eastAsia="方正仿宋简体"/>
                <w:kern w:val="0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szCs w:val="28"/>
              </w:rPr>
              <w:t>与</w:t>
            </w:r>
          </w:p>
          <w:p>
            <w:pPr>
              <w:overflowPunct w:val="0"/>
              <w:snapToGrid w:val="0"/>
              <w:jc w:val="center"/>
              <w:rPr>
                <w:rFonts w:ascii="黑体" w:hAnsi="黑体" w:eastAsia="黑体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szCs w:val="28"/>
              </w:rPr>
              <w:t>学情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overflowPunct w:val="0"/>
              <w:snapToGrid w:val="0"/>
              <w:jc w:val="center"/>
              <w:rPr>
                <w:rFonts w:ascii="黑体" w:hAnsi="黑体" w:eastAsia="黑体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sz w:val="24"/>
                <w:szCs w:val="28"/>
              </w:rPr>
              <w:t>20</w:t>
            </w:r>
          </w:p>
        </w:tc>
        <w:tc>
          <w:tcPr>
            <w:tcW w:w="7164" w:type="dxa"/>
            <w:shd w:val="clear" w:color="auto" w:fill="auto"/>
            <w:vAlign w:val="center"/>
          </w:tcPr>
          <w:p>
            <w:pPr>
              <w:overflowPunct w:val="0"/>
              <w:snapToGrid w:val="0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sz w:val="24"/>
                <w:szCs w:val="28"/>
              </w:rPr>
              <w:t>1.适应新时代对技术技能人才培养的新要求，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中职组作品应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符合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教育部发布的《中等职业学校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公共基础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课程方案》、公共基础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课程标准有关要求，紧扣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学校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专业人才培养方案和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课程教学安排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，强调培育学生的学习能力、信息素养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、精益求精的工匠精神和爱岗敬业的劳动态度。</w:t>
            </w:r>
          </w:p>
          <w:p>
            <w:pPr>
              <w:overflowPunct w:val="0"/>
              <w:snapToGrid w:val="0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sz w:val="24"/>
                <w:szCs w:val="28"/>
              </w:rPr>
              <w:t>2.教学目标表述明确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、相互关联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，重点突出、可评可测。</w:t>
            </w:r>
          </w:p>
          <w:p>
            <w:pPr>
              <w:overflowPunct w:val="0"/>
              <w:snapToGrid w:val="0"/>
              <w:rPr>
                <w:rFonts w:ascii="黑体" w:hAnsi="黑体" w:eastAsia="黑体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sz w:val="24"/>
                <w:szCs w:val="28"/>
              </w:rPr>
              <w:t>3.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客观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分析学生知识基础、认知能力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、学习特点、专业特性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等，详实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反映学生整体与个体情况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数据，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准确预判教学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难点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及其掌握可能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0" w:hRule="atLeast"/>
          <w:jc w:val="center"/>
        </w:trPr>
        <w:tc>
          <w:tcPr>
            <w:tcW w:w="874" w:type="dxa"/>
            <w:shd w:val="clear" w:color="auto" w:fill="auto"/>
            <w:vAlign w:val="center"/>
          </w:tcPr>
          <w:p>
            <w:pPr>
              <w:autoSpaceDE w:val="0"/>
              <w:autoSpaceDN w:val="0"/>
              <w:snapToGrid w:val="0"/>
              <w:jc w:val="center"/>
              <w:rPr>
                <w:rFonts w:ascii="Times New Roman" w:hAnsi="Times New Roman" w:eastAsia="方正仿宋简体"/>
                <w:kern w:val="0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szCs w:val="28"/>
              </w:rPr>
              <w:t>内容</w:t>
            </w:r>
          </w:p>
          <w:p>
            <w:pPr>
              <w:autoSpaceDE w:val="0"/>
              <w:autoSpaceDN w:val="0"/>
              <w:snapToGrid w:val="0"/>
              <w:jc w:val="center"/>
              <w:rPr>
                <w:rFonts w:ascii="Times New Roman" w:hAnsi="Times New Roman" w:eastAsia="方正仿宋简体"/>
                <w:kern w:val="0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szCs w:val="28"/>
              </w:rPr>
              <w:t>与</w:t>
            </w:r>
          </w:p>
          <w:p>
            <w:pPr>
              <w:autoSpaceDE w:val="0"/>
              <w:autoSpaceDN w:val="0"/>
              <w:snapToGrid w:val="0"/>
              <w:jc w:val="center"/>
              <w:rPr>
                <w:rFonts w:ascii="Times New Roman" w:hAnsi="Times New Roman" w:eastAsia="方正仿宋简体"/>
                <w:kern w:val="0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szCs w:val="28"/>
              </w:rPr>
              <w:t>策略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overflowPunct w:val="0"/>
              <w:snapToGrid w:val="0"/>
              <w:jc w:val="center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sz w:val="24"/>
                <w:szCs w:val="28"/>
              </w:rPr>
              <w:t>20</w:t>
            </w:r>
          </w:p>
        </w:tc>
        <w:tc>
          <w:tcPr>
            <w:tcW w:w="7164" w:type="dxa"/>
            <w:shd w:val="clear" w:color="auto" w:fill="auto"/>
            <w:vAlign w:val="center"/>
          </w:tcPr>
          <w:p>
            <w:pPr>
              <w:overflowPunct w:val="0"/>
              <w:snapToGrid w:val="0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sz w:val="24"/>
                <w:szCs w:val="28"/>
              </w:rPr>
              <w:t>1.</w:t>
            </w:r>
            <w:bookmarkStart w:id="1" w:name="_Hlk44359443"/>
            <w:r>
              <w:rPr>
                <w:rFonts w:ascii="Times New Roman" w:hAnsi="Times New Roman" w:eastAsia="方正仿宋简体"/>
                <w:sz w:val="24"/>
                <w:szCs w:val="28"/>
              </w:rPr>
              <w:t>思政课程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按照“八个相统一”要求扎实推进创优建设</w:t>
            </w:r>
            <w:bookmarkEnd w:id="1"/>
            <w:r>
              <w:rPr>
                <w:rFonts w:ascii="Times New Roman" w:hAnsi="Times New Roman" w:eastAsia="方正仿宋简体"/>
                <w:sz w:val="24"/>
                <w:szCs w:val="28"/>
              </w:rPr>
              <w:t>，其他课程注重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落实课程思政要求；联系时代发展和社会生活，结合课程特点有机融入劳动教育内容，融通专业课程和职业能力，培育创新意识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。</w:t>
            </w:r>
          </w:p>
          <w:p>
            <w:pPr>
              <w:overflowPunct w:val="0"/>
              <w:snapToGrid w:val="0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sz w:val="24"/>
                <w:szCs w:val="28"/>
              </w:rPr>
              <w:t>2.教学内容有效支撑教学目标的实现，选择科学严谨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、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容量适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度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，安排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合理、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衔接有序、结构清晰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。</w:t>
            </w:r>
          </w:p>
          <w:p>
            <w:pPr>
              <w:overflowPunct w:val="0"/>
              <w:snapToGrid w:val="0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sz w:val="24"/>
                <w:szCs w:val="28"/>
              </w:rPr>
              <w:t>3.教材选用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、使用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符合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《职业院校教材管理办法》等文件规定和要求，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配套提供丰富、优质学习资源，教案完整、规范、简明、真实。</w:t>
            </w:r>
          </w:p>
          <w:p>
            <w:pPr>
              <w:overflowPunct w:val="0"/>
              <w:snapToGrid w:val="0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sz w:val="24"/>
                <w:szCs w:val="28"/>
              </w:rPr>
              <w:t>4.教学过程系统优化，流程环节构思得当，技术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应用预想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合理，方法手段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设计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恰当，评价考核考虑周全。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  <w:jc w:val="center"/>
        </w:trPr>
        <w:tc>
          <w:tcPr>
            <w:tcW w:w="874" w:type="dxa"/>
            <w:shd w:val="clear" w:color="auto" w:fill="auto"/>
            <w:vAlign w:val="center"/>
          </w:tcPr>
          <w:p>
            <w:pPr>
              <w:overflowPunct w:val="0"/>
              <w:snapToGrid w:val="0"/>
              <w:jc w:val="center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sz w:val="24"/>
                <w:szCs w:val="28"/>
              </w:rPr>
              <w:t>实施</w:t>
            </w:r>
          </w:p>
          <w:p>
            <w:pPr>
              <w:overflowPunct w:val="0"/>
              <w:snapToGrid w:val="0"/>
              <w:jc w:val="center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与</w:t>
            </w:r>
          </w:p>
          <w:p>
            <w:pPr>
              <w:autoSpaceDE w:val="0"/>
              <w:autoSpaceDN w:val="0"/>
              <w:snapToGrid w:val="0"/>
              <w:jc w:val="center"/>
              <w:rPr>
                <w:rFonts w:ascii="Times New Roman" w:hAnsi="Times New Roman" w:eastAsia="方正仿宋简体"/>
                <w:kern w:val="0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成效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overflowPunct w:val="0"/>
              <w:snapToGrid w:val="0"/>
              <w:jc w:val="center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sz w:val="24"/>
                <w:szCs w:val="28"/>
              </w:rPr>
              <w:t>30</w:t>
            </w:r>
          </w:p>
        </w:tc>
        <w:tc>
          <w:tcPr>
            <w:tcW w:w="7164" w:type="dxa"/>
            <w:shd w:val="clear" w:color="auto" w:fill="auto"/>
            <w:vAlign w:val="center"/>
          </w:tcPr>
          <w:p>
            <w:pPr>
              <w:overflowPunct w:val="0"/>
              <w:snapToGrid w:val="0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sz w:val="24"/>
                <w:szCs w:val="28"/>
              </w:rPr>
              <w:t>1.体现先进教育思想和教学理念，遵循学生认知规律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，符合课内外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教学实际。</w:t>
            </w:r>
          </w:p>
          <w:p>
            <w:pPr>
              <w:overflowPunct w:val="0"/>
              <w:snapToGrid w:val="0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sz w:val="24"/>
                <w:szCs w:val="28"/>
              </w:rPr>
              <w:t>2.按照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教学设计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实施教学，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关注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重点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、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难点的解决，能够针对学习反馈及时调整教学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，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突出学生中心，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实行因材施教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。</w:t>
            </w:r>
          </w:p>
          <w:p>
            <w:pPr>
              <w:overflowPunct w:val="0"/>
              <w:snapToGrid w:val="0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sz w:val="24"/>
                <w:szCs w:val="28"/>
              </w:rPr>
              <w:t>3.教学环境满足需求，教学活动开展有序，教学互动深入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有效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，教学气氛生动活泼。</w:t>
            </w:r>
          </w:p>
          <w:p>
            <w:pPr>
              <w:overflowPunct w:val="0"/>
              <w:snapToGrid w:val="0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sz w:val="24"/>
                <w:szCs w:val="28"/>
              </w:rPr>
              <w:t>4.关注教与学全过程信息采集，针对目标要求开展考核与评价。</w:t>
            </w:r>
          </w:p>
          <w:p>
            <w:pPr>
              <w:overflowPunct w:val="0"/>
              <w:snapToGrid w:val="0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sz w:val="24"/>
                <w:szCs w:val="28"/>
              </w:rPr>
              <w:t>5.合理运用信息技术、数字资源、信息化教学设施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设备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提高教学与管理成效。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atLeast"/>
          <w:jc w:val="center"/>
        </w:trPr>
        <w:tc>
          <w:tcPr>
            <w:tcW w:w="874" w:type="dxa"/>
            <w:shd w:val="clear" w:color="auto" w:fill="auto"/>
            <w:vAlign w:val="center"/>
          </w:tcPr>
          <w:p>
            <w:pPr>
              <w:overflowPunct w:val="0"/>
              <w:snapToGrid w:val="0"/>
              <w:jc w:val="center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sz w:val="24"/>
                <w:szCs w:val="28"/>
              </w:rPr>
              <w:t>教学</w:t>
            </w:r>
          </w:p>
          <w:p>
            <w:pPr>
              <w:overflowPunct w:val="0"/>
              <w:snapToGrid w:val="0"/>
              <w:jc w:val="center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sz w:val="24"/>
                <w:szCs w:val="28"/>
              </w:rPr>
              <w:t>素养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overflowPunct w:val="0"/>
              <w:snapToGrid w:val="0"/>
              <w:jc w:val="center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sz w:val="24"/>
                <w:szCs w:val="28"/>
              </w:rPr>
              <w:t>15</w:t>
            </w:r>
          </w:p>
        </w:tc>
        <w:tc>
          <w:tcPr>
            <w:tcW w:w="7164" w:type="dxa"/>
            <w:shd w:val="clear" w:color="auto" w:fill="auto"/>
            <w:vAlign w:val="center"/>
          </w:tcPr>
          <w:p>
            <w:pPr>
              <w:overflowPunct w:val="0"/>
              <w:snapToGrid w:val="0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sz w:val="24"/>
                <w:szCs w:val="28"/>
              </w:rPr>
              <w:t>1.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充分展现新时代职业院校教师良好的师德师风、教学技能和信息素养，发挥教学团队协作优势；老中青传帮带效果显著。</w:t>
            </w:r>
          </w:p>
          <w:p>
            <w:pPr>
              <w:overflowPunct w:val="0"/>
              <w:snapToGrid w:val="0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sz w:val="24"/>
                <w:szCs w:val="28"/>
              </w:rPr>
              <w:t>2.教师课堂教学态度认真、严谨规范、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表述清晰、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亲和力强。</w:t>
            </w:r>
          </w:p>
          <w:p>
            <w:pPr>
              <w:overflowPunct w:val="0"/>
              <w:snapToGrid w:val="0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sz w:val="24"/>
                <w:szCs w:val="28"/>
              </w:rPr>
              <w:t>3.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教学实施报告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客观记载、真实反映、深刻反思教与学的成效与不足，提出教学设计与课堂实施的改进设想。</w:t>
            </w:r>
          </w:p>
          <w:p>
            <w:pPr>
              <w:overflowPunct w:val="0"/>
              <w:snapToGrid w:val="0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sz w:val="24"/>
                <w:szCs w:val="28"/>
              </w:rPr>
              <w:t>4.决赛现场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的内容介绍、教学展示和回答提问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聚焦主题、科学准确、思路清晰、逻辑严谨、研究深入、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手段得当、简洁明了、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表达流畅。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  <w:jc w:val="center"/>
        </w:trPr>
        <w:tc>
          <w:tcPr>
            <w:tcW w:w="874" w:type="dxa"/>
            <w:shd w:val="clear" w:color="auto" w:fill="auto"/>
            <w:vAlign w:val="center"/>
          </w:tcPr>
          <w:p>
            <w:pPr>
              <w:overflowPunct w:val="0"/>
              <w:snapToGrid w:val="0"/>
              <w:jc w:val="center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sz w:val="24"/>
                <w:szCs w:val="28"/>
              </w:rPr>
              <w:t>特色</w:t>
            </w:r>
          </w:p>
          <w:p>
            <w:pPr>
              <w:overflowPunct w:val="0"/>
              <w:snapToGrid w:val="0"/>
              <w:jc w:val="center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创新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overflowPunct w:val="0"/>
              <w:snapToGrid w:val="0"/>
              <w:jc w:val="center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sz w:val="24"/>
                <w:szCs w:val="28"/>
              </w:rPr>
              <w:t>15</w:t>
            </w:r>
          </w:p>
        </w:tc>
        <w:tc>
          <w:tcPr>
            <w:tcW w:w="7164" w:type="dxa"/>
            <w:shd w:val="clear" w:color="auto" w:fill="auto"/>
            <w:vAlign w:val="center"/>
          </w:tcPr>
          <w:p>
            <w:pPr>
              <w:overflowPunct w:val="0"/>
              <w:snapToGrid w:val="0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sz w:val="24"/>
                <w:szCs w:val="28"/>
              </w:rPr>
              <w:t>1.能够引导学生树立正确的理想信念、学会正确的思维方法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、培育正确的劳动观念、增强学生职业荣誉感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。</w:t>
            </w:r>
          </w:p>
          <w:p>
            <w:pPr>
              <w:overflowPunct w:val="0"/>
              <w:snapToGrid w:val="0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sz w:val="24"/>
                <w:szCs w:val="28"/>
              </w:rPr>
              <w:t>2.能够创新教学模式，给学生深刻的学习体验。</w:t>
            </w:r>
          </w:p>
          <w:p>
            <w:pPr>
              <w:overflowPunct w:val="0"/>
              <w:snapToGrid w:val="0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sz w:val="24"/>
                <w:szCs w:val="28"/>
              </w:rPr>
              <w:t>3.能够与时俱进地提高信息技术应用能力、教研科研能力。</w:t>
            </w:r>
          </w:p>
          <w:p>
            <w:pPr>
              <w:overflowPunct w:val="0"/>
              <w:snapToGrid w:val="0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4.具有较大借鉴和推广价值，特别是疫情防控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  <w:lang w:eastAsia="zh-CN"/>
              </w:rPr>
              <w:t>常态化形势下的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线上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  <w:lang w:eastAsia="zh-CN"/>
              </w:rPr>
              <w:t>线下混合式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教学实践。</w:t>
            </w:r>
          </w:p>
        </w:tc>
      </w:tr>
      <w:bookmarkEnd w:id="0"/>
    </w:tbl>
    <w:p>
      <w:pPr>
        <w:overflowPunct w:val="0"/>
        <w:snapToGrid w:val="0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二、专业（技能）课程组</w:t>
      </w:r>
    </w:p>
    <w:tbl>
      <w:tblPr>
        <w:tblStyle w:val="4"/>
        <w:tblW w:w="87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6"/>
        <w:gridCol w:w="572"/>
        <w:gridCol w:w="76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tblHeader/>
          <w:jc w:val="center"/>
        </w:trPr>
        <w:tc>
          <w:tcPr>
            <w:tcW w:w="59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overflowPunct w:val="0"/>
              <w:snapToGrid w:val="0"/>
              <w:jc w:val="center"/>
              <w:rPr>
                <w:rFonts w:ascii="黑体" w:hAnsi="黑体" w:eastAsia="黑体"/>
                <w:sz w:val="24"/>
                <w:szCs w:val="28"/>
              </w:rPr>
            </w:pPr>
            <w:r>
              <w:rPr>
                <w:rFonts w:hint="eastAsia" w:ascii="黑体" w:hAnsi="黑体" w:eastAsia="黑体"/>
                <w:sz w:val="24"/>
                <w:szCs w:val="28"/>
              </w:rPr>
              <w:t>评价</w:t>
            </w:r>
          </w:p>
          <w:p>
            <w:pPr>
              <w:overflowPunct w:val="0"/>
              <w:snapToGrid w:val="0"/>
              <w:jc w:val="center"/>
              <w:rPr>
                <w:rFonts w:ascii="黑体" w:hAnsi="黑体" w:eastAsia="黑体"/>
                <w:sz w:val="24"/>
                <w:szCs w:val="28"/>
              </w:rPr>
            </w:pPr>
            <w:r>
              <w:rPr>
                <w:rFonts w:hint="eastAsia" w:ascii="黑体" w:hAnsi="黑体" w:eastAsia="黑体"/>
                <w:sz w:val="24"/>
                <w:szCs w:val="28"/>
              </w:rPr>
              <w:t>指标</w:t>
            </w:r>
          </w:p>
        </w:tc>
        <w:tc>
          <w:tcPr>
            <w:tcW w:w="5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overflowPunct w:val="0"/>
              <w:snapToGrid w:val="0"/>
              <w:jc w:val="center"/>
              <w:rPr>
                <w:rFonts w:ascii="黑体" w:hAnsi="黑体" w:eastAsia="黑体"/>
                <w:sz w:val="24"/>
                <w:szCs w:val="28"/>
              </w:rPr>
            </w:pPr>
            <w:r>
              <w:rPr>
                <w:rFonts w:hint="eastAsia" w:ascii="黑体" w:hAnsi="黑体" w:eastAsia="黑体"/>
                <w:sz w:val="24"/>
                <w:szCs w:val="28"/>
              </w:rPr>
              <w:t>分</w:t>
            </w:r>
          </w:p>
          <w:p>
            <w:pPr>
              <w:overflowPunct w:val="0"/>
              <w:snapToGrid w:val="0"/>
              <w:jc w:val="center"/>
              <w:rPr>
                <w:rFonts w:ascii="黑体" w:hAnsi="黑体" w:eastAsia="黑体"/>
                <w:sz w:val="24"/>
                <w:szCs w:val="28"/>
              </w:rPr>
            </w:pPr>
            <w:r>
              <w:rPr>
                <w:rFonts w:hint="eastAsia" w:ascii="黑体" w:hAnsi="黑体" w:eastAsia="黑体"/>
                <w:sz w:val="24"/>
                <w:szCs w:val="28"/>
              </w:rPr>
              <w:t>值</w:t>
            </w:r>
          </w:p>
        </w:tc>
        <w:tc>
          <w:tcPr>
            <w:tcW w:w="760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overflowPunct w:val="0"/>
              <w:snapToGrid w:val="0"/>
              <w:jc w:val="center"/>
              <w:rPr>
                <w:rFonts w:ascii="黑体" w:hAnsi="黑体" w:eastAsia="黑体"/>
                <w:sz w:val="24"/>
                <w:szCs w:val="28"/>
              </w:rPr>
            </w:pPr>
            <w:r>
              <w:rPr>
                <w:rFonts w:hint="eastAsia" w:ascii="黑体" w:hAnsi="黑体" w:eastAsia="黑体"/>
                <w:sz w:val="24"/>
                <w:szCs w:val="28"/>
              </w:rPr>
              <w:t>评价要素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0" w:hRule="atLeast"/>
          <w:jc w:val="center"/>
        </w:trPr>
        <w:tc>
          <w:tcPr>
            <w:tcW w:w="59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autoSpaceDE w:val="0"/>
              <w:autoSpaceDN w:val="0"/>
              <w:snapToGrid w:val="0"/>
              <w:jc w:val="center"/>
              <w:rPr>
                <w:rFonts w:ascii="Times New Roman" w:hAnsi="Times New Roman" w:eastAsia="方正仿宋简体"/>
                <w:kern w:val="0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szCs w:val="28"/>
              </w:rPr>
              <w:t>目标</w:t>
            </w:r>
          </w:p>
          <w:p>
            <w:pPr>
              <w:autoSpaceDE w:val="0"/>
              <w:autoSpaceDN w:val="0"/>
              <w:snapToGrid w:val="0"/>
              <w:jc w:val="center"/>
              <w:rPr>
                <w:rFonts w:ascii="Times New Roman" w:hAnsi="Times New Roman" w:eastAsia="方正仿宋简体"/>
                <w:kern w:val="0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szCs w:val="28"/>
              </w:rPr>
              <w:t>与</w:t>
            </w:r>
          </w:p>
          <w:p>
            <w:pPr>
              <w:autoSpaceDE w:val="0"/>
              <w:autoSpaceDN w:val="0"/>
              <w:snapToGrid w:val="0"/>
              <w:jc w:val="center"/>
              <w:rPr>
                <w:rFonts w:ascii="Times New Roman" w:hAnsi="Times New Roman" w:eastAsia="方正仿宋简体"/>
                <w:kern w:val="0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szCs w:val="28"/>
              </w:rPr>
              <w:t>学情</w:t>
            </w:r>
          </w:p>
        </w:tc>
        <w:tc>
          <w:tcPr>
            <w:tcW w:w="572" w:type="dxa"/>
            <w:shd w:val="clear" w:color="auto" w:fill="auto"/>
            <w:vAlign w:val="center"/>
          </w:tcPr>
          <w:p>
            <w:pPr>
              <w:overflowPunct w:val="0"/>
              <w:snapToGrid w:val="0"/>
              <w:jc w:val="center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sz w:val="24"/>
                <w:szCs w:val="28"/>
              </w:rPr>
              <w:t>20</w:t>
            </w:r>
          </w:p>
        </w:tc>
        <w:tc>
          <w:tcPr>
            <w:tcW w:w="7607" w:type="dxa"/>
            <w:shd w:val="clear" w:color="auto" w:fill="auto"/>
            <w:vAlign w:val="center"/>
          </w:tcPr>
          <w:p>
            <w:pPr>
              <w:overflowPunct w:val="0"/>
              <w:snapToGrid w:val="0"/>
              <w:spacing w:line="340" w:lineRule="exact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sz w:val="24"/>
                <w:szCs w:val="28"/>
              </w:rPr>
              <w:t>1.适应新时代对技术技能人才培养的新要求，符合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教育部发布的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专业教学标准、实训教学条件建设标准（仪器设备装备规范）、顶岗实习标准等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有关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要求，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涉及1+X证书制度试点的专业，还应对接有关职业技能等级标准。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紧扣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学校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专业人才培养方案和课程标准，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强调培育学生学习能力、信息素养、职业能力、精益求精的工匠精神和爱岗敬业的劳动态度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。</w:t>
            </w:r>
          </w:p>
          <w:p>
            <w:pPr>
              <w:overflowPunct w:val="0"/>
              <w:snapToGrid w:val="0"/>
              <w:spacing w:line="340" w:lineRule="exact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sz w:val="24"/>
                <w:szCs w:val="28"/>
              </w:rPr>
              <w:t>2.教学目标表述明确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、相互关联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，重点突出、可评可测。</w:t>
            </w:r>
          </w:p>
          <w:p>
            <w:pPr>
              <w:overflowPunct w:val="0"/>
              <w:snapToGrid w:val="0"/>
              <w:spacing w:line="340" w:lineRule="exact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sz w:val="24"/>
                <w:szCs w:val="28"/>
              </w:rPr>
              <w:t>3.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客观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分析学生的知识和技能基础、认知和实践能力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、学习特点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等，详实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反映学生整体与个体情况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数据，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准确预判教学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难点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及其掌握可能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4" w:hRule="atLeast"/>
          <w:jc w:val="center"/>
        </w:trPr>
        <w:tc>
          <w:tcPr>
            <w:tcW w:w="59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autoSpaceDE w:val="0"/>
              <w:autoSpaceDN w:val="0"/>
              <w:snapToGrid w:val="0"/>
              <w:jc w:val="center"/>
              <w:rPr>
                <w:rFonts w:ascii="Times New Roman" w:hAnsi="Times New Roman" w:eastAsia="方正仿宋简体"/>
                <w:kern w:val="0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szCs w:val="28"/>
              </w:rPr>
              <w:t>内容</w:t>
            </w:r>
          </w:p>
          <w:p>
            <w:pPr>
              <w:autoSpaceDE w:val="0"/>
              <w:autoSpaceDN w:val="0"/>
              <w:snapToGrid w:val="0"/>
              <w:jc w:val="center"/>
              <w:rPr>
                <w:rFonts w:ascii="Times New Roman" w:hAnsi="Times New Roman" w:eastAsia="方正仿宋简体"/>
                <w:kern w:val="0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szCs w:val="28"/>
              </w:rPr>
              <w:t>与</w:t>
            </w:r>
          </w:p>
          <w:p>
            <w:pPr>
              <w:autoSpaceDE w:val="0"/>
              <w:autoSpaceDN w:val="0"/>
              <w:snapToGrid w:val="0"/>
              <w:jc w:val="center"/>
              <w:rPr>
                <w:rFonts w:ascii="Times New Roman" w:hAnsi="Times New Roman" w:eastAsia="方正仿宋简体"/>
                <w:kern w:val="0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szCs w:val="28"/>
              </w:rPr>
              <w:t>策略</w:t>
            </w:r>
          </w:p>
        </w:tc>
        <w:tc>
          <w:tcPr>
            <w:tcW w:w="572" w:type="dxa"/>
            <w:shd w:val="clear" w:color="auto" w:fill="auto"/>
            <w:vAlign w:val="center"/>
          </w:tcPr>
          <w:p>
            <w:pPr>
              <w:overflowPunct w:val="0"/>
              <w:snapToGrid w:val="0"/>
              <w:jc w:val="center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sz w:val="24"/>
                <w:szCs w:val="28"/>
              </w:rPr>
              <w:t>20</w:t>
            </w:r>
          </w:p>
        </w:tc>
        <w:tc>
          <w:tcPr>
            <w:tcW w:w="7607" w:type="dxa"/>
            <w:shd w:val="clear" w:color="auto" w:fill="auto"/>
            <w:vAlign w:val="center"/>
          </w:tcPr>
          <w:p>
            <w:pPr>
              <w:overflowPunct w:val="0"/>
              <w:snapToGrid w:val="0"/>
              <w:spacing w:line="340" w:lineRule="exact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sz w:val="24"/>
                <w:szCs w:val="28"/>
              </w:rPr>
              <w:t>1.</w:t>
            </w:r>
            <w:bookmarkStart w:id="2" w:name="_Hlk44359470"/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深入挖掘课程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思政元素，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有机融入课程教学</w:t>
            </w:r>
            <w:bookmarkEnd w:id="2"/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，及时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反映相关领域产业升级的新技术、新工艺、新规范，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结合课程特点有机融入劳动教育内容，开展劳动精神、劳模精神、工匠精神专题教育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。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针对基于职业工作过程建设模块化课程的需求，优化教学内容。</w:t>
            </w:r>
          </w:p>
          <w:p>
            <w:pPr>
              <w:overflowPunct w:val="0"/>
              <w:snapToGrid w:val="0"/>
              <w:spacing w:line="340" w:lineRule="exact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sz w:val="24"/>
                <w:szCs w:val="28"/>
              </w:rPr>
              <w:t>2.教学内容有效支撑教学目标的实现，选择科学严谨、容量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适度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，安排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合理、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衔接有序、结构清晰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。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实训教学内容源于真实工作任务、项目或工作流程、过程等。</w:t>
            </w:r>
          </w:p>
          <w:p>
            <w:pPr>
              <w:overflowPunct w:val="0"/>
              <w:snapToGrid w:val="0"/>
              <w:spacing w:line="340" w:lineRule="exact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sz w:val="24"/>
                <w:szCs w:val="28"/>
              </w:rPr>
              <w:t>3.教材选用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符合《职业院校教材管理办法》等文件规定和要求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，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探索使用新型活页式、工作手册式教材并配套信息化资源，引入典型生产案例。教案完整、规范、简明、真实。</w:t>
            </w:r>
          </w:p>
          <w:p>
            <w:pPr>
              <w:overflowPunct w:val="0"/>
              <w:snapToGrid w:val="0"/>
              <w:spacing w:line="340" w:lineRule="exact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sz w:val="24"/>
                <w:szCs w:val="28"/>
              </w:rPr>
              <w:t>4.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根据项目式、案例式等教学需要，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教学过程系统优化，流程环节构思得当，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技术应用预想合理，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方法手段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设计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恰当，评价考核考虑周全。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9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overflowPunct w:val="0"/>
              <w:snapToGrid w:val="0"/>
              <w:jc w:val="center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实施</w:t>
            </w:r>
          </w:p>
          <w:p>
            <w:pPr>
              <w:overflowPunct w:val="0"/>
              <w:snapToGrid w:val="0"/>
              <w:jc w:val="center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与</w:t>
            </w:r>
          </w:p>
          <w:p>
            <w:pPr>
              <w:overflowPunct w:val="0"/>
              <w:snapToGrid w:val="0"/>
              <w:jc w:val="center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成效</w:t>
            </w:r>
          </w:p>
        </w:tc>
        <w:tc>
          <w:tcPr>
            <w:tcW w:w="572" w:type="dxa"/>
            <w:shd w:val="clear" w:color="auto" w:fill="auto"/>
            <w:vAlign w:val="center"/>
          </w:tcPr>
          <w:p>
            <w:pPr>
              <w:overflowPunct w:val="0"/>
              <w:snapToGrid w:val="0"/>
              <w:jc w:val="center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3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0</w:t>
            </w:r>
          </w:p>
        </w:tc>
        <w:tc>
          <w:tcPr>
            <w:tcW w:w="7607" w:type="dxa"/>
            <w:shd w:val="clear" w:color="auto" w:fill="auto"/>
            <w:vAlign w:val="center"/>
          </w:tcPr>
          <w:p>
            <w:pPr>
              <w:overflowPunct w:val="0"/>
              <w:snapToGrid w:val="0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sz w:val="24"/>
                <w:szCs w:val="28"/>
              </w:rPr>
              <w:t>1.体现先进教育思想和教学理念，遵循学生认知规律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，符合课内外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教学实际，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落实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德技并修、工学结合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。</w:t>
            </w:r>
          </w:p>
          <w:p>
            <w:pPr>
              <w:overflowPunct w:val="0"/>
              <w:snapToGrid w:val="0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sz w:val="24"/>
                <w:szCs w:val="28"/>
              </w:rPr>
              <w:t>2.按照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教学设计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实施教学，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关注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技术技能教学重点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、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难点的解决，能够针对学习和实践反馈及时调整教学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，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突出学生中心，强调知行合一，实行因材施教。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针对不同生源特点，体现灵活的教学组织形式。</w:t>
            </w:r>
          </w:p>
          <w:p>
            <w:pPr>
              <w:overflowPunct w:val="0"/>
              <w:snapToGrid w:val="0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sz w:val="24"/>
                <w:szCs w:val="28"/>
              </w:rPr>
              <w:t>3.教学环境满足需求，教学活动安全有序，教学互动深入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有效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，教学气氛生动活泼。</w:t>
            </w:r>
          </w:p>
          <w:p>
            <w:pPr>
              <w:overflowPunct w:val="0"/>
              <w:snapToGrid w:val="0"/>
              <w:spacing w:line="216" w:lineRule="auto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4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.关注教与学全过程的信息采集，针对目标要求开展教学与实践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的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考核与评价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。</w:t>
            </w:r>
          </w:p>
          <w:p>
            <w:pPr>
              <w:overflowPunct w:val="0"/>
              <w:snapToGrid w:val="0"/>
              <w:spacing w:line="216" w:lineRule="auto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sz w:val="24"/>
                <w:szCs w:val="28"/>
              </w:rPr>
              <w:t>5.合理运用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云计算、大数据、物联网、虚拟仿真、增强现实、人工智能、区块链等信息技术以及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数字资源、信息化教学设施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设备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改造传统教学与实践方式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、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提高管理成效。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9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overflowPunct w:val="0"/>
              <w:snapToGrid w:val="0"/>
              <w:jc w:val="center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教学</w:t>
            </w:r>
          </w:p>
          <w:p>
            <w:pPr>
              <w:overflowPunct w:val="0"/>
              <w:snapToGrid w:val="0"/>
              <w:jc w:val="center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素养</w:t>
            </w:r>
          </w:p>
        </w:tc>
        <w:tc>
          <w:tcPr>
            <w:tcW w:w="572" w:type="dxa"/>
            <w:shd w:val="clear" w:color="auto" w:fill="auto"/>
            <w:vAlign w:val="center"/>
          </w:tcPr>
          <w:p>
            <w:pPr>
              <w:overflowPunct w:val="0"/>
              <w:snapToGrid w:val="0"/>
              <w:jc w:val="center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1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5</w:t>
            </w:r>
          </w:p>
        </w:tc>
        <w:tc>
          <w:tcPr>
            <w:tcW w:w="7607" w:type="dxa"/>
            <w:shd w:val="clear" w:color="auto" w:fill="auto"/>
            <w:vAlign w:val="center"/>
          </w:tcPr>
          <w:p>
            <w:pPr>
              <w:overflowPunct w:val="0"/>
              <w:snapToGrid w:val="0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1.充分展现新时代职业院校教师良好的师德师风、教学技能、实践能力和信息素养，发挥教学团队协作优势；老中青传帮带效果显著。</w:t>
            </w:r>
          </w:p>
          <w:p>
            <w:pPr>
              <w:overflowPunct w:val="0"/>
              <w:snapToGrid w:val="0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sz w:val="24"/>
                <w:szCs w:val="28"/>
              </w:rPr>
              <w:t>2.课堂教学态度认真、严谨规范、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表述清晰、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亲和力强。</w:t>
            </w:r>
          </w:p>
          <w:p>
            <w:pPr>
              <w:overflowPunct w:val="0"/>
              <w:snapToGrid w:val="0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sz w:val="24"/>
                <w:szCs w:val="28"/>
              </w:rPr>
              <w:t>3.实训教学讲解和操作配合恰当，规范娴熟、示范有效，符合职业岗位要求，展现良好</w:t>
            </w:r>
            <w:r>
              <w:rPr>
                <w:rFonts w:hint="eastAsia" w:ascii="方正仿宋简体" w:hAnsi="Times New Roman" w:eastAsia="方正仿宋简体"/>
                <w:sz w:val="24"/>
                <w:szCs w:val="28"/>
              </w:rPr>
              <w:t>“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双师</w:t>
            </w:r>
            <w:r>
              <w:rPr>
                <w:rFonts w:hint="eastAsia" w:ascii="方正仿宋简体" w:hAnsi="Times New Roman" w:eastAsia="方正仿宋简体"/>
                <w:sz w:val="24"/>
                <w:szCs w:val="28"/>
              </w:rPr>
              <w:t>”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素养。</w:t>
            </w:r>
          </w:p>
          <w:p>
            <w:pPr>
              <w:overflowPunct w:val="0"/>
              <w:snapToGrid w:val="0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sz w:val="24"/>
                <w:szCs w:val="28"/>
              </w:rPr>
              <w:t>4.教学实施报告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客观记载、真实反映、深刻反思理论、实践教与学的成效与不足，提出教学设计与课堂实施的改进设想。</w:t>
            </w:r>
          </w:p>
          <w:p>
            <w:pPr>
              <w:overflowPunct w:val="0"/>
              <w:snapToGrid w:val="0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sz w:val="24"/>
                <w:szCs w:val="28"/>
              </w:rPr>
              <w:t>5.决赛现场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的内容介绍、教学展示和回答提问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聚焦主题、科学准确、思路清晰、逻辑严谨、研究深入、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手段得当、简洁明了、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表达流畅。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0" w:hRule="atLeast"/>
          <w:jc w:val="center"/>
        </w:trPr>
        <w:tc>
          <w:tcPr>
            <w:tcW w:w="59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overflowPunct w:val="0"/>
              <w:snapToGrid w:val="0"/>
              <w:jc w:val="center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sz w:val="24"/>
                <w:szCs w:val="28"/>
              </w:rPr>
              <w:t>特色</w:t>
            </w:r>
          </w:p>
          <w:p>
            <w:pPr>
              <w:overflowPunct w:val="0"/>
              <w:snapToGrid w:val="0"/>
              <w:jc w:val="center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创新</w:t>
            </w:r>
          </w:p>
        </w:tc>
        <w:tc>
          <w:tcPr>
            <w:tcW w:w="5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overflowPunct w:val="0"/>
              <w:snapToGrid w:val="0"/>
              <w:jc w:val="center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sz w:val="24"/>
                <w:szCs w:val="28"/>
              </w:rPr>
              <w:t>15</w:t>
            </w:r>
          </w:p>
        </w:tc>
        <w:tc>
          <w:tcPr>
            <w:tcW w:w="760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overflowPunct w:val="0"/>
              <w:snapToGrid w:val="0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sz w:val="24"/>
                <w:szCs w:val="28"/>
              </w:rPr>
              <w:t>1.能够引导学生树立正确的理想信念、学会正确的思维方法、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培育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正确的劳动观念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、增强学生职业荣誉感</w:t>
            </w:r>
            <w:r>
              <w:rPr>
                <w:rFonts w:ascii="Times New Roman" w:hAnsi="Times New Roman" w:eastAsia="方正仿宋简体"/>
                <w:sz w:val="24"/>
                <w:szCs w:val="28"/>
              </w:rPr>
              <w:t>。</w:t>
            </w:r>
          </w:p>
          <w:p>
            <w:pPr>
              <w:overflowPunct w:val="0"/>
              <w:snapToGrid w:val="0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sz w:val="24"/>
                <w:szCs w:val="28"/>
              </w:rPr>
              <w:t>2.能够创新教学与实训模式，给学生深刻的学习与实践体验。</w:t>
            </w:r>
          </w:p>
          <w:p>
            <w:pPr>
              <w:overflowPunct w:val="0"/>
              <w:snapToGrid w:val="0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ascii="Times New Roman" w:hAnsi="Times New Roman" w:eastAsia="方正仿宋简体"/>
                <w:sz w:val="24"/>
                <w:szCs w:val="28"/>
              </w:rPr>
              <w:t>3.能够与时俱进地更新专业知识、积累实践技能、提高信息技术应用能力和教研科研能力。</w:t>
            </w:r>
          </w:p>
          <w:p>
            <w:pPr>
              <w:overflowPunct w:val="0"/>
              <w:snapToGrid w:val="0"/>
              <w:rPr>
                <w:rFonts w:ascii="Times New Roman" w:hAnsi="Times New Roman" w:eastAsia="方正仿宋简体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4.具有较大借鉴和推广价值，特别是疫情防控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  <w:lang w:eastAsia="zh-CN"/>
              </w:rPr>
              <w:t>常态化形势下的线上线下混合式</w:t>
            </w:r>
            <w:r>
              <w:rPr>
                <w:rFonts w:hint="eastAsia" w:ascii="Times New Roman" w:hAnsi="Times New Roman" w:eastAsia="方正仿宋简体"/>
                <w:sz w:val="24"/>
                <w:szCs w:val="28"/>
              </w:rPr>
              <w:t>教学实践。</w:t>
            </w:r>
          </w:p>
        </w:tc>
      </w:tr>
    </w:tbl>
    <w:p>
      <w:pPr>
        <w:rPr>
          <w:rFonts w:ascii="Times New Roman" w:hAnsi="Times New Roman" w:eastAsia="方正仿宋简体"/>
          <w:sz w:val="32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105E2"/>
    <w:rsid w:val="00014FF1"/>
    <w:rsid w:val="000838B5"/>
    <w:rsid w:val="000A1F20"/>
    <w:rsid w:val="002105E2"/>
    <w:rsid w:val="003C1C27"/>
    <w:rsid w:val="0065532A"/>
    <w:rsid w:val="00937FF1"/>
    <w:rsid w:val="00A96E2E"/>
    <w:rsid w:val="00AD5A13"/>
    <w:rsid w:val="00FE426B"/>
    <w:rsid w:val="4E9F5F15"/>
    <w:rsid w:val="53CE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Lines="0" w:line="24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333</Words>
  <Characters>1902</Characters>
  <Lines>15</Lines>
  <Paragraphs>4</Paragraphs>
  <TotalTime>0</TotalTime>
  <ScaleCrop>false</ScaleCrop>
  <LinksUpToDate>false</LinksUpToDate>
  <CharactersWithSpaces>2231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2019-11-04T01:07:00Z</dcterms:created>
  <dc:creator>User</dc:creator>
  <cp:lastModifiedBy>dell</cp:lastModifiedBy>
  <dcterms:modified xsi:type="dcterms:W3CDTF">2020-11-20T10:29:44Z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